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Cs/>
          <w:color w:val="000000"/>
          <w:sz w:val="36"/>
          <w:lang w:val="en-US" w:eastAsia="zh-CN"/>
        </w:rPr>
      </w:pPr>
      <w:r>
        <w:rPr>
          <w:rFonts w:hint="eastAsia" w:eastAsia="黑体"/>
          <w:bCs/>
          <w:color w:val="000000"/>
          <w:sz w:val="36"/>
          <w:lang w:eastAsia="zh-CN"/>
        </w:rPr>
        <w:t>附件</w:t>
      </w:r>
      <w:r>
        <w:rPr>
          <w:rFonts w:hint="eastAsia" w:eastAsia="黑体"/>
          <w:bCs/>
          <w:color w:val="000000"/>
          <w:sz w:val="36"/>
          <w:lang w:val="en-US" w:eastAsia="zh-CN"/>
        </w:rPr>
        <w:t>1：</w:t>
      </w:r>
    </w:p>
    <w:p>
      <w:pPr>
        <w:jc w:val="center"/>
        <w:rPr>
          <w:rFonts w:hint="eastAsia"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江西外语外贸职业学院缓交科研原件申请表</w:t>
      </w:r>
    </w:p>
    <w:tbl>
      <w:tblPr>
        <w:tblStyle w:val="2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76"/>
        <w:gridCol w:w="1785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所在系部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缓交科研成果类别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缓交科研成果名称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申请缓交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的原因</w:t>
            </w:r>
          </w:p>
        </w:tc>
        <w:tc>
          <w:tcPr>
            <w:tcW w:w="6998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wordWrap w:val="0"/>
              <w:ind w:firstLine="126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申请人（签字）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  日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系部意见</w:t>
            </w:r>
          </w:p>
        </w:tc>
        <w:tc>
          <w:tcPr>
            <w:tcW w:w="69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负责人（签字）       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                  （公章）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科研处意见</w:t>
            </w:r>
          </w:p>
        </w:tc>
        <w:tc>
          <w:tcPr>
            <w:tcW w:w="6998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ind w:right="420" w:firstLine="3570" w:firstLineChars="1700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负责人（签字）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  （公章）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998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</w:tbl>
    <w:p>
      <w:r>
        <w:rPr>
          <w:rFonts w:hint="eastAsia"/>
        </w:rPr>
        <w:t>注：申请缓交的科研原件经科研处认定后，一律视为下一个科研成果计算周期内的成果。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2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zdk</dc:creator>
  <cp:lastModifiedBy>情系江边</cp:lastModifiedBy>
  <dcterms:modified xsi:type="dcterms:W3CDTF">2019-05-28T02:43:19Z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